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62D1" w14:textId="77777777" w:rsidR="00577F2D" w:rsidRPr="00577F2D" w:rsidRDefault="00577F2D" w:rsidP="00577F2D">
      <w:pPr>
        <w:pBdr>
          <w:top w:val="single" w:sz="2" w:space="0" w:color="E5E7EB"/>
          <w:left w:val="single" w:sz="2" w:space="0" w:color="E5E7EB"/>
          <w:bottom w:val="single" w:sz="2" w:space="0" w:color="E5E7EB"/>
          <w:right w:val="single" w:sz="2" w:space="0" w:color="E5E7EB"/>
        </w:pBdr>
        <w:shd w:val="clear" w:color="auto" w:fill="FFFFFF"/>
        <w:spacing w:before="150" w:after="0" w:line="390" w:lineRule="atLeast"/>
        <w:outlineLvl w:val="1"/>
        <w:rPr>
          <w:rFonts w:ascii="Arial" w:eastAsia="Times New Roman" w:hAnsi="Arial" w:cs="Arial"/>
          <w:b/>
          <w:bCs/>
          <w:color w:val="525252"/>
          <w:sz w:val="36"/>
          <w:szCs w:val="36"/>
        </w:rPr>
      </w:pPr>
      <w:r w:rsidRPr="00577F2D">
        <w:rPr>
          <w:rFonts w:ascii="Arial" w:eastAsia="Times New Roman" w:hAnsi="Arial" w:cs="Arial"/>
          <w:b/>
          <w:bCs/>
          <w:color w:val="2E3192"/>
          <w:sz w:val="23"/>
          <w:szCs w:val="23"/>
          <w:bdr w:val="single" w:sz="2" w:space="0" w:color="E5E7EB" w:frame="1"/>
        </w:rPr>
        <w:t>QUY ĐỊNH TRÊN TÀU</w:t>
      </w:r>
    </w:p>
    <w:p w14:paraId="638DDAF8" w14:textId="77777777" w:rsidR="00577F2D" w:rsidRPr="00577F2D" w:rsidRDefault="00577F2D" w:rsidP="00577F2D">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Times New Roman" w:eastAsia="Times New Roman" w:hAnsi="Times New Roman" w:cs="Times New Roman"/>
          <w:color w:val="525252"/>
          <w:sz w:val="23"/>
          <w:szCs w:val="23"/>
        </w:rPr>
      </w:pPr>
      <w:r w:rsidRPr="00577F2D">
        <w:rPr>
          <w:rFonts w:ascii="Times New Roman" w:eastAsia="Times New Roman" w:hAnsi="Times New Roman" w:cs="Times New Roman"/>
          <w:color w:val="525252"/>
          <w:sz w:val="23"/>
          <w:szCs w:val="23"/>
        </w:rPr>
        <w:t>Để hành trình được thuận lợi Quý khách vui lòng cùng Superdong thực hiện những nội quy sau:</w:t>
      </w:r>
      <w:r w:rsidRPr="00577F2D">
        <w:rPr>
          <w:rFonts w:ascii="Times New Roman" w:eastAsia="Times New Roman" w:hAnsi="Times New Roman" w:cs="Times New Roman"/>
          <w:color w:val="525252"/>
          <w:sz w:val="23"/>
          <w:szCs w:val="23"/>
        </w:rPr>
        <w:br/>
        <w:t>– Xuất trình giấy tờ tùy thân như CMND/Thẻ căn cước/Hộ chiếu/Giấy phép lái xe/Giấy khai sinh của trẻ em khi lên tàu.</w:t>
      </w:r>
      <w:r w:rsidRPr="00577F2D">
        <w:rPr>
          <w:rFonts w:ascii="Times New Roman" w:eastAsia="Times New Roman" w:hAnsi="Times New Roman" w:cs="Times New Roman"/>
          <w:color w:val="525252"/>
          <w:sz w:val="23"/>
          <w:szCs w:val="23"/>
        </w:rPr>
        <w:br/>
        <w:t>– Ngồi đúng vị trí ghế hiển thị trên vé.</w:t>
      </w:r>
      <w:r w:rsidRPr="00577F2D">
        <w:rPr>
          <w:rFonts w:ascii="Times New Roman" w:eastAsia="Times New Roman" w:hAnsi="Times New Roman" w:cs="Times New Roman"/>
          <w:color w:val="525252"/>
          <w:sz w:val="23"/>
          <w:szCs w:val="23"/>
        </w:rPr>
        <w:br/>
        <w:t>– Có mặt tại bến tàu 30’ (phút) trước giờ tàu khởi hành.</w:t>
      </w:r>
      <w:r w:rsidRPr="00577F2D">
        <w:rPr>
          <w:rFonts w:ascii="Times New Roman" w:eastAsia="Times New Roman" w:hAnsi="Times New Roman" w:cs="Times New Roman"/>
          <w:color w:val="525252"/>
          <w:sz w:val="23"/>
          <w:szCs w:val="23"/>
        </w:rPr>
        <w:br/>
        <w:t>– Với mỗi vé, Quý khách được mang theo hành lý dưới 10kg.</w:t>
      </w:r>
      <w:r w:rsidRPr="00577F2D">
        <w:rPr>
          <w:rFonts w:ascii="Times New Roman" w:eastAsia="Times New Roman" w:hAnsi="Times New Roman" w:cs="Times New Roman"/>
          <w:color w:val="525252"/>
          <w:sz w:val="23"/>
          <w:szCs w:val="23"/>
        </w:rPr>
        <w:br/>
        <w:t>– Quý khách vui lòng tự bảo quản hành lý xách tay của mình, Công ty không chịu trách nhiệm đối với hành lý bị mất mát, hư hỏng hay thất lạc.</w:t>
      </w:r>
      <w:r w:rsidRPr="00577F2D">
        <w:rPr>
          <w:rFonts w:ascii="Times New Roman" w:eastAsia="Times New Roman" w:hAnsi="Times New Roman" w:cs="Times New Roman"/>
          <w:color w:val="525252"/>
          <w:sz w:val="23"/>
          <w:szCs w:val="23"/>
        </w:rPr>
        <w:br/>
        <w:t>– Quý khách chỉ được đi lại trong khoang tàu. Nếu xảy ra trường hợp nguy hiểm do vi phạm quy định này, Công ty hoàn toàn không chịu trách nhiệm.</w:t>
      </w:r>
      <w:r w:rsidRPr="00577F2D">
        <w:rPr>
          <w:rFonts w:ascii="Times New Roman" w:eastAsia="Times New Roman" w:hAnsi="Times New Roman" w:cs="Times New Roman"/>
          <w:color w:val="525252"/>
          <w:sz w:val="23"/>
          <w:szCs w:val="23"/>
        </w:rPr>
        <w:br/>
        <w:t>– Những hạng mục cấm không mang lên tàu Quý khách cần lưu ý: Hàng quốc cấm, vũ khí, ma túy, hóa chất, các vật liệu dễ cháy nổ;…; hàng hóa có mùi hôi thối đặc biệt, hàng hóa nguy hiểm</w:t>
      </w:r>
    </w:p>
    <w:p w14:paraId="541648BD" w14:textId="77777777" w:rsidR="00577F2D" w:rsidRPr="00577F2D" w:rsidRDefault="00577F2D" w:rsidP="00577F2D">
      <w:pPr>
        <w:pBdr>
          <w:top w:val="single" w:sz="2" w:space="0" w:color="E5E7EB"/>
          <w:left w:val="single" w:sz="2" w:space="0" w:color="E5E7EB"/>
          <w:bottom w:val="single" w:sz="2" w:space="0" w:color="E5E7EB"/>
          <w:right w:val="single" w:sz="2" w:space="0" w:color="E5E7EB"/>
        </w:pBdr>
        <w:shd w:val="clear" w:color="auto" w:fill="FFFFFF"/>
        <w:spacing w:before="150" w:after="0" w:line="360" w:lineRule="atLeast"/>
        <w:outlineLvl w:val="2"/>
        <w:rPr>
          <w:rFonts w:ascii="Arial" w:eastAsia="Times New Roman" w:hAnsi="Arial" w:cs="Arial"/>
          <w:b/>
          <w:bCs/>
          <w:color w:val="525252"/>
          <w:sz w:val="27"/>
          <w:szCs w:val="27"/>
        </w:rPr>
      </w:pPr>
      <w:r w:rsidRPr="00577F2D">
        <w:rPr>
          <w:rFonts w:ascii="Arial" w:eastAsia="Times New Roman" w:hAnsi="Arial" w:cs="Arial"/>
          <w:b/>
          <w:bCs/>
          <w:color w:val="2E3192"/>
          <w:sz w:val="23"/>
          <w:szCs w:val="23"/>
          <w:bdr w:val="single" w:sz="2" w:space="0" w:color="E5E7EB" w:frame="1"/>
        </w:rPr>
        <w:t>QUY ĐỊNH HOÀN ĐỔI VÉ</w:t>
      </w:r>
    </w:p>
    <w:p w14:paraId="75F16308" w14:textId="77777777" w:rsidR="00577F2D" w:rsidRPr="00577F2D" w:rsidRDefault="00577F2D" w:rsidP="00577F2D">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Times New Roman" w:eastAsia="Times New Roman" w:hAnsi="Times New Roman" w:cs="Times New Roman"/>
          <w:color w:val="525252"/>
          <w:sz w:val="23"/>
          <w:szCs w:val="23"/>
        </w:rPr>
      </w:pPr>
      <w:r w:rsidRPr="00577F2D">
        <w:rPr>
          <w:rFonts w:ascii="Times New Roman" w:eastAsia="Times New Roman" w:hAnsi="Times New Roman" w:cs="Times New Roman"/>
          <w:color w:val="525252"/>
          <w:sz w:val="23"/>
          <w:szCs w:val="23"/>
        </w:rPr>
        <w:t>Công ty luôn sẵn sàng hỗ trợ và tạo điều kiện thuận lợi nhất đến Quý khách. Quý khách được quyền đổi tên, đổi chuyến đi trước giờ Tàu khởi hành và tuyến mới được lựa chọn còn trống chỗ.</w:t>
      </w:r>
    </w:p>
    <w:p w14:paraId="48712B15" w14:textId="77777777" w:rsidR="00577F2D" w:rsidRPr="00577F2D" w:rsidRDefault="00577F2D" w:rsidP="00577F2D">
      <w:pPr>
        <w:pBdr>
          <w:top w:val="single" w:sz="2" w:space="0" w:color="E5E7EB"/>
          <w:left w:val="single" w:sz="2" w:space="0" w:color="E5E7EB"/>
          <w:bottom w:val="single" w:sz="2" w:space="0" w:color="E5E7EB"/>
          <w:right w:val="single" w:sz="2" w:space="0" w:color="E5E7EB"/>
        </w:pBdr>
        <w:shd w:val="clear" w:color="auto" w:fill="FFFFFF"/>
        <w:spacing w:before="150" w:after="0" w:line="360" w:lineRule="atLeast"/>
        <w:outlineLvl w:val="2"/>
        <w:rPr>
          <w:rFonts w:ascii="Arial" w:eastAsia="Times New Roman" w:hAnsi="Arial" w:cs="Arial"/>
          <w:b/>
          <w:bCs/>
          <w:color w:val="525252"/>
          <w:sz w:val="27"/>
          <w:szCs w:val="27"/>
        </w:rPr>
      </w:pPr>
      <w:r w:rsidRPr="00577F2D">
        <w:rPr>
          <w:rFonts w:ascii="Arial" w:eastAsia="Times New Roman" w:hAnsi="Arial" w:cs="Arial"/>
          <w:b/>
          <w:bCs/>
          <w:color w:val="2E3192"/>
          <w:sz w:val="23"/>
          <w:szCs w:val="23"/>
          <w:bdr w:val="single" w:sz="2" w:space="0" w:color="E5E7EB" w:frame="1"/>
        </w:rPr>
        <w:t>Trường hợp hoàn/đổi vé:</w:t>
      </w:r>
    </w:p>
    <w:p w14:paraId="388EA42A" w14:textId="77777777" w:rsidR="00577F2D" w:rsidRPr="00577F2D" w:rsidRDefault="00577F2D" w:rsidP="00577F2D">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Times New Roman" w:eastAsia="Times New Roman" w:hAnsi="Times New Roman" w:cs="Times New Roman"/>
          <w:color w:val="525252"/>
          <w:sz w:val="23"/>
          <w:szCs w:val="23"/>
        </w:rPr>
      </w:pPr>
      <w:r w:rsidRPr="00577F2D">
        <w:rPr>
          <w:rFonts w:ascii="Times New Roman" w:eastAsia="Times New Roman" w:hAnsi="Times New Roman" w:cs="Times New Roman"/>
          <w:color w:val="525252"/>
          <w:sz w:val="23"/>
          <w:szCs w:val="23"/>
        </w:rPr>
        <w:t>– Hình thức hoàn tiền: tiền chuyển khoản (Tiền sẽ được hoàn vào tài khoản đã sử dụng để thanh toán trước đó, từ 10-15 ngày làm việc tùy vào từng loại thẻ)</w:t>
      </w:r>
      <w:r w:rsidRPr="00577F2D">
        <w:rPr>
          <w:rFonts w:ascii="Times New Roman" w:eastAsia="Times New Roman" w:hAnsi="Times New Roman" w:cs="Times New Roman"/>
          <w:color w:val="525252"/>
          <w:sz w:val="23"/>
          <w:szCs w:val="23"/>
        </w:rPr>
        <w:br/>
        <w:t>– Vé đổi mới có giá trị thấp hơn vé cũ, Công ty sẽ hoàn trả lại phần chênh lệch với giá vé đã mua sau khi đã trừ phí đổi vé.</w:t>
      </w:r>
      <w:r w:rsidRPr="00577F2D">
        <w:rPr>
          <w:rFonts w:ascii="Times New Roman" w:eastAsia="Times New Roman" w:hAnsi="Times New Roman" w:cs="Times New Roman"/>
          <w:color w:val="525252"/>
          <w:sz w:val="23"/>
          <w:szCs w:val="23"/>
        </w:rPr>
        <w:br/>
        <w:t>– Vé đổi mới có giá trị cao hơn vé cũ, Khách hàng phải thanh toán phần chênh lệch với giá vé đã mua bao gồm phí đổi vé.</w:t>
      </w:r>
      <w:r w:rsidRPr="00577F2D">
        <w:rPr>
          <w:rFonts w:ascii="Times New Roman" w:eastAsia="Times New Roman" w:hAnsi="Times New Roman" w:cs="Times New Roman"/>
          <w:color w:val="525252"/>
          <w:sz w:val="23"/>
          <w:szCs w:val="23"/>
        </w:rPr>
        <w:br/>
        <w:t>– Quý khách xem thêm bảng bên dưới để nắm rõ thông tin về quy đổi và hoàn trả vé:</w:t>
      </w:r>
    </w:p>
    <w:tbl>
      <w:tblPr>
        <w:tblW w:w="10555" w:type="dxa"/>
        <w:tblInd w:w="-59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2"/>
        <w:gridCol w:w="1123"/>
        <w:gridCol w:w="1643"/>
        <w:gridCol w:w="1994"/>
        <w:gridCol w:w="1978"/>
        <w:gridCol w:w="2205"/>
      </w:tblGrid>
      <w:tr w:rsidR="00577F2D" w:rsidRPr="00577F2D" w14:paraId="3D374B26" w14:textId="77777777" w:rsidTr="000B66FA">
        <w:trPr>
          <w:trHeight w:val="27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33CA970"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b/>
                <w:bCs/>
                <w:color w:val="525252"/>
                <w:sz w:val="27"/>
                <w:szCs w:val="27"/>
                <w:bdr w:val="single" w:sz="2" w:space="0" w:color="E5E7EB" w:frame="1"/>
              </w:rPr>
              <w:t>SỐ LƯỢNG VÉ</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93D00C8"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b/>
                <w:bCs/>
                <w:color w:val="525252"/>
                <w:sz w:val="27"/>
                <w:szCs w:val="27"/>
                <w:bdr w:val="single" w:sz="2" w:space="0" w:color="E5E7EB" w:frame="1"/>
              </w:rPr>
              <w:t>PHÍ ĐỔI VÉ</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453E35B"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b/>
                <w:bCs/>
                <w:color w:val="525252"/>
                <w:sz w:val="27"/>
                <w:szCs w:val="27"/>
                <w:bdr w:val="single" w:sz="2" w:space="0" w:color="E5E7EB" w:frame="1"/>
              </w:rPr>
              <w:t>PHÍ HOÀN TRẢ VÉ</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145E6B5"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b/>
                <w:bCs/>
                <w:color w:val="525252"/>
                <w:sz w:val="27"/>
                <w:szCs w:val="27"/>
                <w:bdr w:val="single" w:sz="2" w:space="0" w:color="E5E7EB" w:frame="1"/>
              </w:rPr>
              <w:t>THỜI GIAN ĐỔI VÉ</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1B0A6FD"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b/>
                <w:bCs/>
                <w:color w:val="525252"/>
                <w:sz w:val="27"/>
                <w:szCs w:val="27"/>
                <w:bdr w:val="single" w:sz="2" w:space="0" w:color="E5E7EB" w:frame="1"/>
              </w:rPr>
              <w:t>THỜI GIAN HOÀN VÉ</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1030DDB"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b/>
                <w:bCs/>
                <w:color w:val="525252"/>
                <w:sz w:val="27"/>
                <w:szCs w:val="27"/>
                <w:bdr w:val="single" w:sz="2" w:space="0" w:color="E5E7EB" w:frame="1"/>
              </w:rPr>
              <w:t>SỐ LẦN ĐƯỢC HOÀN ĐỔI VÉ</w:t>
            </w:r>
          </w:p>
        </w:tc>
      </w:tr>
      <w:tr w:rsidR="00577F2D" w:rsidRPr="00577F2D" w14:paraId="0D63F458" w14:textId="77777777" w:rsidTr="000B66FA">
        <w:trPr>
          <w:trHeight w:val="263"/>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0D4ABA50"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01 – 02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06DA49CF"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7F4E4D42"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79F6CC9E"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24h (01 ngày)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0C14BC1E"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24h (01 ngày)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128181F9"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01 lần</w:t>
            </w:r>
          </w:p>
        </w:tc>
      </w:tr>
      <w:tr w:rsidR="00577F2D" w:rsidRPr="00577F2D" w14:paraId="74EA350A" w14:textId="77777777" w:rsidTr="000B66FA">
        <w:trPr>
          <w:trHeight w:val="27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EA18100"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03 – 09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4DEBD36"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00D7CCA"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078FF63"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48h-168h (02-07 ngày)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CEA6708"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48h (02 ngày)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77F97A9" w14:textId="77777777" w:rsidR="00577F2D" w:rsidRPr="00577F2D" w:rsidRDefault="00577F2D" w:rsidP="00577F2D">
            <w:pPr>
              <w:spacing w:after="225" w:line="240" w:lineRule="auto"/>
              <w:rPr>
                <w:rFonts w:ascii="Arial" w:eastAsia="Times New Roman" w:hAnsi="Arial" w:cs="Arial"/>
                <w:color w:val="525252"/>
                <w:sz w:val="27"/>
                <w:szCs w:val="27"/>
              </w:rPr>
            </w:pPr>
            <w:r w:rsidRPr="00577F2D">
              <w:rPr>
                <w:rFonts w:ascii="Arial" w:eastAsia="Times New Roman" w:hAnsi="Arial" w:cs="Arial"/>
                <w:color w:val="525252"/>
                <w:sz w:val="27"/>
                <w:szCs w:val="27"/>
              </w:rPr>
              <w:t>01 lần</w:t>
            </w:r>
          </w:p>
        </w:tc>
      </w:tr>
    </w:tbl>
    <w:p w14:paraId="5801AA35" w14:textId="77777777" w:rsidR="00577F2D" w:rsidRPr="00577F2D" w:rsidRDefault="00577F2D" w:rsidP="00577F2D">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Times New Roman" w:eastAsia="Times New Roman" w:hAnsi="Times New Roman" w:cs="Times New Roman"/>
          <w:color w:val="525252"/>
          <w:sz w:val="23"/>
          <w:szCs w:val="23"/>
        </w:rPr>
      </w:pPr>
      <w:r w:rsidRPr="00577F2D">
        <w:rPr>
          <w:rFonts w:ascii="Times New Roman" w:eastAsia="Times New Roman" w:hAnsi="Times New Roman" w:cs="Times New Roman"/>
          <w:b/>
          <w:bCs/>
          <w:color w:val="525252"/>
          <w:sz w:val="23"/>
          <w:szCs w:val="23"/>
          <w:bdr w:val="single" w:sz="2" w:space="0" w:color="E5E7EB" w:frame="1"/>
        </w:rPr>
        <w:t>* Nếu số lượng vé nhiều hơn theo quy định trên. Tùy vào tình hình thực tế Công ty sẽ có hướng giải quyết và hỗ trợ phù hợp đến Quý khách.</w:t>
      </w:r>
    </w:p>
    <w:p w14:paraId="52EB8A8B" w14:textId="77777777" w:rsidR="00B442F9" w:rsidRDefault="00B442F9"/>
    <w:sectPr w:rsidR="00B44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40"/>
    <w:rsid w:val="000B66FA"/>
    <w:rsid w:val="00426540"/>
    <w:rsid w:val="00577F2D"/>
    <w:rsid w:val="00B4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FC6F"/>
  <w15:chartTrackingRefBased/>
  <w15:docId w15:val="{5469D7DE-9071-4C07-91E3-3C25A3A5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77F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7F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F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7F2D"/>
    <w:rPr>
      <w:rFonts w:ascii="Times New Roman" w:eastAsia="Times New Roman" w:hAnsi="Times New Roman" w:cs="Times New Roman"/>
      <w:b/>
      <w:bCs/>
      <w:sz w:val="27"/>
      <w:szCs w:val="27"/>
    </w:rPr>
  </w:style>
  <w:style w:type="character" w:styleId="Strong">
    <w:name w:val="Strong"/>
    <w:basedOn w:val="DefaultParagraphFont"/>
    <w:uiPriority w:val="22"/>
    <w:qFormat/>
    <w:rsid w:val="00577F2D"/>
    <w:rPr>
      <w:b/>
      <w:bCs/>
    </w:rPr>
  </w:style>
  <w:style w:type="paragraph" w:styleId="NormalWeb">
    <w:name w:val="Normal (Web)"/>
    <w:basedOn w:val="Normal"/>
    <w:uiPriority w:val="99"/>
    <w:semiHidden/>
    <w:unhideWhenUsed/>
    <w:rsid w:val="00577F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3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HP</cp:lastModifiedBy>
  <cp:revision>3</cp:revision>
  <dcterms:created xsi:type="dcterms:W3CDTF">2025-10-30T10:36:00Z</dcterms:created>
  <dcterms:modified xsi:type="dcterms:W3CDTF">2025-11-11T09:34:00Z</dcterms:modified>
</cp:coreProperties>
</file>